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FC" w:rsidRPr="009436D2" w:rsidRDefault="00EF1AFC" w:rsidP="00AC357D">
      <w:pPr>
        <w:spacing w:line="360" w:lineRule="auto"/>
        <w:jc w:val="center"/>
        <w:rPr>
          <w:rFonts w:ascii="Arial" w:hAnsi="Arial"/>
          <w:color w:val="auto"/>
          <w:lang w:val="en-GB"/>
        </w:rPr>
      </w:pPr>
      <w:r w:rsidRPr="009436D2">
        <w:rPr>
          <w:rFonts w:ascii="Arial Bold" w:hAnsi="Arial Bold"/>
          <w:color w:val="auto"/>
          <w:lang w:val="en-GB"/>
        </w:rPr>
        <w:t>Vision</w:t>
      </w:r>
    </w:p>
    <w:p w:rsidR="00EF1AFC" w:rsidRPr="009436D2" w:rsidRDefault="00EF1AFC" w:rsidP="00AC357D">
      <w:pPr>
        <w:spacing w:line="360" w:lineRule="auto"/>
        <w:jc w:val="center"/>
        <w:rPr>
          <w:rFonts w:ascii="Arial" w:hAnsi="Arial"/>
          <w:color w:val="auto"/>
          <w:lang w:val="en-GB"/>
        </w:rPr>
      </w:pPr>
    </w:p>
    <w:p w:rsidR="00EF1AFC" w:rsidRPr="009436D2" w:rsidRDefault="00EF1AFC" w:rsidP="00AC357D">
      <w:pPr>
        <w:spacing w:line="360" w:lineRule="auto"/>
        <w:jc w:val="center"/>
        <w:rPr>
          <w:rFonts w:ascii="Arial" w:hAnsi="Arial"/>
          <w:color w:val="auto"/>
          <w:lang w:val="en-GB"/>
        </w:rPr>
      </w:pPr>
      <w:r w:rsidRPr="009436D2">
        <w:rPr>
          <w:rFonts w:ascii="Arial" w:hAnsi="Arial"/>
          <w:color w:val="auto"/>
          <w:lang w:val="en-GB"/>
        </w:rPr>
        <w:t>To be a recognised world-class leader in energy regulation.</w:t>
      </w:r>
    </w:p>
    <w:p w:rsidR="00EF1AFC" w:rsidRPr="009436D2" w:rsidRDefault="00EF1AFC" w:rsidP="00AC357D">
      <w:pPr>
        <w:spacing w:line="360" w:lineRule="auto"/>
        <w:jc w:val="center"/>
        <w:rPr>
          <w:rFonts w:ascii="Arial" w:hAnsi="Arial"/>
          <w:color w:val="auto"/>
          <w:lang w:val="en-GB"/>
        </w:rPr>
      </w:pPr>
    </w:p>
    <w:p w:rsidR="00EF1AFC" w:rsidRPr="009436D2" w:rsidRDefault="00EF1AFC" w:rsidP="00AC357D">
      <w:pPr>
        <w:spacing w:line="360" w:lineRule="auto"/>
        <w:jc w:val="center"/>
        <w:rPr>
          <w:rFonts w:ascii="Arial Bold" w:hAnsi="Arial Bold"/>
          <w:color w:val="auto"/>
          <w:lang w:val="en-GB"/>
        </w:rPr>
      </w:pPr>
      <w:r w:rsidRPr="009436D2">
        <w:rPr>
          <w:rFonts w:ascii="Arial Bold" w:hAnsi="Arial Bold"/>
          <w:color w:val="auto"/>
          <w:lang w:val="en-GB"/>
        </w:rPr>
        <w:t>Mission</w:t>
      </w:r>
    </w:p>
    <w:p w:rsidR="00EF1AFC" w:rsidRPr="009436D2" w:rsidRDefault="00EF1AFC" w:rsidP="00AC357D">
      <w:pPr>
        <w:spacing w:line="360" w:lineRule="auto"/>
        <w:jc w:val="center"/>
        <w:rPr>
          <w:rFonts w:ascii="Arial" w:hAnsi="Arial"/>
          <w:color w:val="auto"/>
          <w:lang w:val="en-GB"/>
        </w:rPr>
      </w:pPr>
    </w:p>
    <w:p w:rsidR="00EF1AFC" w:rsidRPr="009436D2" w:rsidRDefault="00EF1AFC" w:rsidP="00AC357D">
      <w:pPr>
        <w:spacing w:line="360" w:lineRule="auto"/>
        <w:jc w:val="center"/>
        <w:rPr>
          <w:rFonts w:ascii="Arial" w:hAnsi="Arial"/>
          <w:color w:val="auto"/>
          <w:lang w:val="en-GB"/>
        </w:rPr>
      </w:pPr>
      <w:r w:rsidRPr="009436D2">
        <w:rPr>
          <w:rFonts w:ascii="Arial" w:hAnsi="Arial"/>
          <w:color w:val="auto"/>
          <w:lang w:val="en-GB"/>
        </w:rPr>
        <w:t>To regulate the energy industry in accordance with government laws and policies, standards and international best practices in support of sustainable development.</w:t>
      </w:r>
    </w:p>
    <w:p w:rsidR="00EF1AFC" w:rsidRPr="009436D2" w:rsidRDefault="00EF1AFC" w:rsidP="00EF1AFC">
      <w:pPr>
        <w:spacing w:line="360" w:lineRule="auto"/>
        <w:rPr>
          <w:rFonts w:ascii="Arial Bold" w:hAnsi="Arial Bold"/>
          <w:color w:val="auto"/>
          <w:lang w:val="en-GB"/>
        </w:rPr>
      </w:pPr>
    </w:p>
    <w:p w:rsidR="00AC357D" w:rsidRDefault="00AC357D">
      <w:pPr>
        <w:spacing w:after="160" w:line="259" w:lineRule="auto"/>
        <w:rPr>
          <w:rFonts w:ascii="Arial" w:hAnsi="Arial" w:cs="Arial"/>
          <w:b/>
          <w:color w:val="auto"/>
          <w:lang w:val="en-GB"/>
        </w:rPr>
      </w:pPr>
      <w:r>
        <w:rPr>
          <w:rFonts w:ascii="Arial" w:hAnsi="Arial" w:cs="Arial"/>
          <w:b/>
          <w:color w:val="auto"/>
          <w:lang w:val="en-GB"/>
        </w:rPr>
        <w:br w:type="page"/>
      </w:r>
      <w:bookmarkStart w:id="0" w:name="_GoBack"/>
      <w:bookmarkEnd w:id="0"/>
    </w:p>
    <w:p w:rsidR="00EF1AFC" w:rsidRPr="009436D2" w:rsidRDefault="00EF1AFC" w:rsidP="00EF1AFC">
      <w:pPr>
        <w:autoSpaceDE w:val="0"/>
        <w:autoSpaceDN w:val="0"/>
        <w:adjustRightInd w:val="0"/>
        <w:spacing w:line="360" w:lineRule="auto"/>
        <w:ind w:right="48"/>
        <w:contextualSpacing/>
        <w:rPr>
          <w:rFonts w:ascii="Arial" w:hAnsi="Arial" w:cs="Arial"/>
          <w:b/>
          <w:bCs/>
          <w:color w:val="auto"/>
          <w:lang w:val="en-GB"/>
        </w:rPr>
      </w:pPr>
      <w:r w:rsidRPr="009436D2">
        <w:rPr>
          <w:rFonts w:ascii="Arial" w:hAnsi="Arial" w:cs="Arial"/>
          <w:b/>
          <w:color w:val="auto"/>
          <w:lang w:val="en-GB"/>
        </w:rPr>
        <w:lastRenderedPageBreak/>
        <w:t>Regulatory Principles</w:t>
      </w:r>
    </w:p>
    <w:p w:rsidR="00EF1AFC" w:rsidRPr="009436D2" w:rsidRDefault="00EF1AFC" w:rsidP="00EF1AFC">
      <w:pPr>
        <w:spacing w:line="360" w:lineRule="auto"/>
        <w:ind w:right="48"/>
        <w:jc w:val="both"/>
        <w:rPr>
          <w:rFonts w:ascii="Arial" w:hAnsi="Arial" w:cs="Arial"/>
          <w:color w:val="auto"/>
          <w:lang w:val="en-GB"/>
        </w:rPr>
      </w:pPr>
    </w:p>
    <w:p w:rsidR="00EF1AFC" w:rsidRPr="009436D2" w:rsidRDefault="00EF1AFC" w:rsidP="00EF1AFC">
      <w:pPr>
        <w:spacing w:line="360" w:lineRule="auto"/>
        <w:ind w:right="48"/>
        <w:jc w:val="both"/>
        <w:rPr>
          <w:rFonts w:ascii="Arial" w:hAnsi="Arial" w:cs="Arial"/>
          <w:color w:val="auto"/>
          <w:lang w:val="en-GB"/>
        </w:rPr>
      </w:pPr>
      <w:r w:rsidRPr="001A636F">
        <w:rPr>
          <w:rFonts w:ascii="Arial" w:hAnsi="Arial" w:cs="Arial"/>
          <w:color w:val="auto"/>
          <w:lang w:val="en-GB"/>
        </w:rPr>
        <w:t>In regulating the three industries, NERSA must adhere to sound principles and</w:t>
      </w:r>
      <w:r w:rsidRPr="009436D2">
        <w:rPr>
          <w:rFonts w:ascii="Arial" w:hAnsi="Arial" w:cs="Arial"/>
          <w:color w:val="auto"/>
          <w:lang w:val="en-GB"/>
        </w:rPr>
        <w:t xml:space="preserve"> approaches to be able to deliver on its mandate and achieve its objectives. NERSA has given consideration both to international best practice and the key principles stated in the </w:t>
      </w:r>
      <w:r w:rsidRPr="00A06723">
        <w:rPr>
          <w:rFonts w:ascii="Arial" w:hAnsi="Arial"/>
          <w:i/>
          <w:lang w:val="en-GB"/>
        </w:rPr>
        <w:t xml:space="preserve">African Forum </w:t>
      </w:r>
      <w:r w:rsidRPr="001A636F">
        <w:rPr>
          <w:rFonts w:ascii="Arial" w:hAnsi="Arial"/>
          <w:i/>
          <w:lang w:val="en-GB"/>
        </w:rPr>
        <w:t xml:space="preserve">for </w:t>
      </w:r>
      <w:r w:rsidRPr="00A06723">
        <w:rPr>
          <w:rFonts w:ascii="Arial" w:hAnsi="Arial"/>
          <w:i/>
          <w:lang w:val="en-GB"/>
        </w:rPr>
        <w:t>Utility Regulators</w:t>
      </w:r>
      <w:r w:rsidRPr="009436D2">
        <w:rPr>
          <w:rFonts w:ascii="Arial" w:hAnsi="Arial" w:cs="Arial"/>
          <w:i/>
          <w:color w:val="auto"/>
          <w:lang w:val="en-GB"/>
        </w:rPr>
        <w:t xml:space="preserve"> </w:t>
      </w:r>
      <w:r>
        <w:rPr>
          <w:rFonts w:ascii="Arial" w:hAnsi="Arial" w:cs="Arial"/>
          <w:i/>
          <w:color w:val="auto"/>
          <w:lang w:val="en-GB"/>
        </w:rPr>
        <w:t>(</w:t>
      </w:r>
      <w:r w:rsidRPr="009436D2">
        <w:rPr>
          <w:rFonts w:ascii="Arial" w:hAnsi="Arial" w:cs="Arial"/>
          <w:i/>
          <w:color w:val="auto"/>
          <w:lang w:val="en-GB"/>
        </w:rPr>
        <w:t>AFUR</w:t>
      </w:r>
      <w:r>
        <w:rPr>
          <w:rFonts w:ascii="Arial" w:hAnsi="Arial" w:cs="Arial"/>
          <w:i/>
          <w:color w:val="auto"/>
          <w:lang w:val="en-GB"/>
        </w:rPr>
        <w:t>)</w:t>
      </w:r>
      <w:r w:rsidRPr="009436D2">
        <w:rPr>
          <w:rFonts w:ascii="Arial" w:hAnsi="Arial" w:cs="Arial"/>
          <w:i/>
          <w:color w:val="auto"/>
          <w:lang w:val="en-GB"/>
        </w:rPr>
        <w:t xml:space="preserve"> framework for utility regulation in Africa</w:t>
      </w:r>
      <w:r w:rsidRPr="009436D2">
        <w:rPr>
          <w:rFonts w:ascii="Arial" w:hAnsi="Arial" w:cs="Arial"/>
          <w:color w:val="auto"/>
          <w:lang w:val="en-GB"/>
        </w:rPr>
        <w:t>.</w:t>
      </w:r>
      <w:bookmarkStart w:id="1" w:name="OLE_LINK17"/>
      <w:bookmarkStart w:id="2" w:name="OLE_LINK19"/>
      <w:r w:rsidRPr="009436D2">
        <w:rPr>
          <w:rFonts w:ascii="Arial" w:hAnsi="Arial" w:cs="Arial"/>
          <w:color w:val="auto"/>
          <w:lang w:val="en-GB"/>
        </w:rPr>
        <w:t xml:space="preserve"> Following the completion of the report </w:t>
      </w:r>
      <w:r w:rsidRPr="009436D2">
        <w:rPr>
          <w:rFonts w:ascii="Arial" w:hAnsi="Arial" w:cs="Arial"/>
          <w:i/>
          <w:color w:val="auto"/>
          <w:lang w:val="en-GB"/>
        </w:rPr>
        <w:t>Benchmarking the National Energy Regulator of South Africa against international good practice</w:t>
      </w:r>
      <w:bookmarkEnd w:id="1"/>
      <w:bookmarkEnd w:id="2"/>
      <w:r w:rsidRPr="009436D2">
        <w:rPr>
          <w:rFonts w:ascii="Arial" w:hAnsi="Arial" w:cs="Arial"/>
          <w:color w:val="auto"/>
          <w:lang w:val="en-GB"/>
        </w:rPr>
        <w:t xml:space="preserve">, NERSA reviewed the literature on good regulatory principles and identified those principles that emerge strongly and consistently as international good practice. </w:t>
      </w:r>
      <w:r>
        <w:rPr>
          <w:rFonts w:ascii="Arial" w:hAnsi="Arial" w:cs="Arial"/>
          <w:color w:val="auto"/>
          <w:lang w:val="en-GB"/>
        </w:rPr>
        <w:t>Supported</w:t>
      </w:r>
      <w:r w:rsidRPr="009436D2">
        <w:rPr>
          <w:rFonts w:ascii="Arial" w:hAnsi="Arial" w:cs="Arial"/>
          <w:color w:val="auto"/>
          <w:lang w:val="en-GB"/>
        </w:rPr>
        <w:t xml:space="preserve"> by its legal mandate, NERSA adopted the following internationally accepted regulatory principles to underpin its regulatory approach:</w:t>
      </w:r>
    </w:p>
    <w:p w:rsidR="00EF1AFC" w:rsidRPr="009436D2" w:rsidRDefault="00EF1AFC" w:rsidP="00EF1AFC">
      <w:pPr>
        <w:pStyle w:val="BodyText"/>
        <w:numPr>
          <w:ilvl w:val="0"/>
          <w:numId w:val="1"/>
        </w:numPr>
        <w:tabs>
          <w:tab w:val="clear" w:pos="360"/>
          <w:tab w:val="num" w:pos="426"/>
        </w:tabs>
        <w:spacing w:after="0" w:line="360" w:lineRule="auto"/>
        <w:ind w:left="426" w:right="48" w:hanging="426"/>
        <w:jc w:val="both"/>
        <w:rPr>
          <w:rFonts w:ascii="Arial" w:hAnsi="Arial" w:cs="Arial"/>
          <w:bCs/>
          <w:i/>
          <w:iCs/>
          <w:color w:val="auto"/>
          <w:lang w:val="en-GB"/>
        </w:rPr>
      </w:pPr>
      <w:r w:rsidRPr="009436D2">
        <w:rPr>
          <w:rFonts w:ascii="Arial" w:hAnsi="Arial" w:cs="Arial"/>
          <w:b/>
          <w:i/>
          <w:color w:val="auto"/>
          <w:lang w:val="en-GB"/>
        </w:rPr>
        <w:t>Transparency</w:t>
      </w:r>
      <w:r w:rsidRPr="009436D2">
        <w:rPr>
          <w:rFonts w:ascii="Arial" w:hAnsi="Arial" w:cs="Arial"/>
          <w:i/>
          <w:color w:val="auto"/>
          <w:lang w:val="en-GB"/>
        </w:rPr>
        <w:t>:</w:t>
      </w:r>
      <w:r w:rsidRPr="009436D2">
        <w:rPr>
          <w:rFonts w:ascii="Arial" w:hAnsi="Arial" w:cs="Arial"/>
          <w:color w:val="auto"/>
          <w:lang w:val="en-GB"/>
        </w:rPr>
        <w:t xml:space="preserve"> </w:t>
      </w:r>
      <w:r w:rsidRPr="009436D2">
        <w:rPr>
          <w:rFonts w:ascii="Arial" w:hAnsi="Arial" w:cs="Arial"/>
          <w:color w:val="auto"/>
          <w:lang w:val="en-GB"/>
        </w:rPr>
        <w:tab/>
        <w:t>The Energy Regulator is required to explain its decisions and processes to regulated entities and other interested parties, implying that the data or information on which the decision is based is readily available and the reasoning behind it is readily explained. This covers public consultation and accessibility.</w:t>
      </w:r>
    </w:p>
    <w:p w:rsidR="00EF1AFC" w:rsidRPr="009436D2" w:rsidRDefault="00EF1AFC" w:rsidP="00EF1AFC">
      <w:pPr>
        <w:pStyle w:val="BodyText"/>
        <w:numPr>
          <w:ilvl w:val="0"/>
          <w:numId w:val="1"/>
        </w:numPr>
        <w:tabs>
          <w:tab w:val="clear" w:pos="360"/>
          <w:tab w:val="num" w:pos="426"/>
        </w:tabs>
        <w:spacing w:after="0" w:line="360" w:lineRule="auto"/>
        <w:ind w:left="426" w:right="48" w:hanging="426"/>
        <w:jc w:val="both"/>
        <w:rPr>
          <w:rFonts w:ascii="Arial" w:hAnsi="Arial" w:cs="Arial"/>
          <w:bCs/>
          <w:i/>
          <w:iCs/>
          <w:color w:val="auto"/>
          <w:lang w:val="en-GB"/>
        </w:rPr>
      </w:pPr>
      <w:r w:rsidRPr="009436D2">
        <w:rPr>
          <w:rFonts w:ascii="Arial" w:hAnsi="Arial" w:cs="Arial"/>
          <w:b/>
          <w:i/>
          <w:color w:val="auto"/>
          <w:lang w:val="en-GB"/>
        </w:rPr>
        <w:t>Neutrality</w:t>
      </w:r>
      <w:r w:rsidRPr="009436D2">
        <w:rPr>
          <w:rFonts w:ascii="Arial" w:hAnsi="Arial" w:cs="Arial"/>
          <w:i/>
          <w:color w:val="auto"/>
          <w:lang w:val="en-GB"/>
        </w:rPr>
        <w:t>:</w:t>
      </w:r>
      <w:r w:rsidRPr="009436D2">
        <w:rPr>
          <w:rFonts w:ascii="Arial" w:hAnsi="Arial" w:cs="Arial"/>
          <w:color w:val="auto"/>
          <w:lang w:val="en-GB"/>
        </w:rPr>
        <w:t xml:space="preserve"> The Energy Regulator should be neutral to all market players without favouring any one group (non-discriminatory).</w:t>
      </w:r>
    </w:p>
    <w:p w:rsidR="00EF1AFC" w:rsidRPr="009436D2" w:rsidRDefault="00EF1AFC" w:rsidP="00EF1AFC">
      <w:pPr>
        <w:pStyle w:val="BodyText"/>
        <w:numPr>
          <w:ilvl w:val="0"/>
          <w:numId w:val="1"/>
        </w:numPr>
        <w:tabs>
          <w:tab w:val="clear" w:pos="360"/>
        </w:tabs>
        <w:spacing w:after="0" w:line="360" w:lineRule="auto"/>
        <w:ind w:left="426" w:right="48" w:hanging="426"/>
        <w:jc w:val="both"/>
        <w:rPr>
          <w:rFonts w:ascii="Arial" w:hAnsi="Arial" w:cs="Arial"/>
          <w:bCs/>
          <w:i/>
          <w:iCs/>
          <w:color w:val="auto"/>
          <w:lang w:val="en-GB"/>
        </w:rPr>
      </w:pPr>
      <w:r w:rsidRPr="009436D2">
        <w:rPr>
          <w:rFonts w:ascii="Arial" w:hAnsi="Arial" w:cs="Arial"/>
          <w:b/>
          <w:i/>
          <w:color w:val="auto"/>
          <w:lang w:val="en-GB"/>
        </w:rPr>
        <w:t>Consistency and Predictability</w:t>
      </w:r>
      <w:r w:rsidRPr="009436D2">
        <w:rPr>
          <w:rFonts w:ascii="Arial" w:hAnsi="Arial" w:cs="Arial"/>
          <w:i/>
          <w:color w:val="auto"/>
          <w:lang w:val="en-GB"/>
        </w:rPr>
        <w:t>:</w:t>
      </w:r>
      <w:r w:rsidRPr="009436D2">
        <w:rPr>
          <w:rFonts w:ascii="Arial" w:hAnsi="Arial" w:cs="Arial"/>
          <w:color w:val="auto"/>
          <w:lang w:val="en-GB"/>
        </w:rPr>
        <w:t xml:space="preserve"> Decisions must be consistent and should have a reasonable degree of predictability based on previous rulings in similar cases.</w:t>
      </w:r>
    </w:p>
    <w:p w:rsidR="00EF1AFC" w:rsidRPr="009436D2" w:rsidRDefault="00EF1AFC" w:rsidP="00EF1AFC">
      <w:pPr>
        <w:pStyle w:val="BodyText"/>
        <w:numPr>
          <w:ilvl w:val="0"/>
          <w:numId w:val="1"/>
        </w:numPr>
        <w:tabs>
          <w:tab w:val="clear" w:pos="360"/>
        </w:tabs>
        <w:spacing w:after="0" w:line="360" w:lineRule="auto"/>
        <w:ind w:left="426" w:right="48" w:hanging="426"/>
        <w:jc w:val="both"/>
        <w:rPr>
          <w:rFonts w:ascii="Arial" w:hAnsi="Arial" w:cs="Arial"/>
          <w:bCs/>
          <w:i/>
          <w:iCs/>
          <w:color w:val="auto"/>
          <w:lang w:val="en-GB"/>
        </w:rPr>
      </w:pPr>
      <w:r w:rsidRPr="009436D2">
        <w:rPr>
          <w:rFonts w:ascii="Arial" w:hAnsi="Arial" w:cs="Arial"/>
          <w:b/>
          <w:i/>
          <w:color w:val="auto"/>
          <w:lang w:val="en-GB"/>
        </w:rPr>
        <w:t>Independence</w:t>
      </w:r>
      <w:r w:rsidRPr="009436D2">
        <w:rPr>
          <w:rFonts w:ascii="Arial" w:hAnsi="Arial" w:cs="Arial"/>
          <w:i/>
          <w:color w:val="auto"/>
          <w:lang w:val="en-GB"/>
        </w:rPr>
        <w:t>:</w:t>
      </w:r>
      <w:r w:rsidRPr="009436D2">
        <w:rPr>
          <w:rFonts w:ascii="Arial" w:hAnsi="Arial" w:cs="Arial"/>
          <w:color w:val="auto"/>
          <w:lang w:val="en-GB"/>
        </w:rPr>
        <w:t xml:space="preserve"> The independence of the Energy Regulator from the regulated companies is a prerequisite for any sound regulatory system. Independence from political influence is also desirable to ensure</w:t>
      </w:r>
      <w:r>
        <w:rPr>
          <w:rFonts w:ascii="Arial" w:hAnsi="Arial" w:cs="Arial"/>
          <w:color w:val="auto"/>
          <w:lang w:val="en-GB"/>
        </w:rPr>
        <w:t xml:space="preserve"> the</w:t>
      </w:r>
      <w:r w:rsidRPr="009436D2">
        <w:rPr>
          <w:rFonts w:ascii="Arial" w:hAnsi="Arial" w:cs="Arial"/>
          <w:color w:val="auto"/>
          <w:lang w:val="en-GB"/>
        </w:rPr>
        <w:t xml:space="preserve"> long-term stability of regulatory practices. Avoidance of regulatory capture by some customer groups is also necessary for successful regulation.</w:t>
      </w:r>
    </w:p>
    <w:p w:rsidR="00EF1AFC" w:rsidRPr="009436D2" w:rsidRDefault="00EF1AFC" w:rsidP="00EF1AFC">
      <w:pPr>
        <w:pStyle w:val="BodyText"/>
        <w:numPr>
          <w:ilvl w:val="0"/>
          <w:numId w:val="1"/>
        </w:numPr>
        <w:tabs>
          <w:tab w:val="clear" w:pos="360"/>
        </w:tabs>
        <w:spacing w:after="0" w:line="360" w:lineRule="auto"/>
        <w:ind w:left="426" w:right="48" w:hanging="426"/>
        <w:jc w:val="both"/>
        <w:rPr>
          <w:rFonts w:ascii="Arial" w:hAnsi="Arial" w:cs="Arial"/>
          <w:bCs/>
          <w:i/>
          <w:iCs/>
          <w:color w:val="auto"/>
          <w:lang w:val="en-GB"/>
        </w:rPr>
      </w:pPr>
      <w:r w:rsidRPr="009436D2">
        <w:rPr>
          <w:rFonts w:ascii="Arial" w:hAnsi="Arial" w:cs="Arial"/>
          <w:b/>
          <w:i/>
          <w:color w:val="auto"/>
          <w:lang w:val="en-GB"/>
        </w:rPr>
        <w:t>Accountability</w:t>
      </w:r>
      <w:r w:rsidRPr="009436D2">
        <w:rPr>
          <w:rFonts w:ascii="Arial" w:hAnsi="Arial" w:cs="Arial"/>
          <w:i/>
          <w:color w:val="auto"/>
          <w:lang w:val="en-GB"/>
        </w:rPr>
        <w:t>:</w:t>
      </w:r>
      <w:r w:rsidRPr="009436D2">
        <w:rPr>
          <w:rFonts w:ascii="Arial" w:hAnsi="Arial" w:cs="Arial"/>
          <w:color w:val="auto"/>
          <w:lang w:val="en-GB"/>
        </w:rPr>
        <w:t xml:space="preserve"> The Energy Regulator should be accountable for its actions and decisions. Independence must not be confused with the lack of accountability.</w:t>
      </w:r>
    </w:p>
    <w:p w:rsidR="00EF1AFC" w:rsidRPr="009436D2" w:rsidRDefault="00EF1AFC" w:rsidP="00EF1AFC">
      <w:pPr>
        <w:pStyle w:val="BodyText"/>
        <w:numPr>
          <w:ilvl w:val="0"/>
          <w:numId w:val="1"/>
        </w:numPr>
        <w:tabs>
          <w:tab w:val="clear" w:pos="360"/>
        </w:tabs>
        <w:spacing w:after="0" w:line="360" w:lineRule="auto"/>
        <w:ind w:left="426" w:right="48" w:hanging="426"/>
        <w:jc w:val="both"/>
        <w:rPr>
          <w:rFonts w:ascii="Arial" w:hAnsi="Arial" w:cs="Arial"/>
          <w:bCs/>
          <w:i/>
          <w:iCs/>
          <w:color w:val="auto"/>
          <w:lang w:val="en-GB"/>
        </w:rPr>
      </w:pPr>
      <w:r w:rsidRPr="009436D2">
        <w:rPr>
          <w:rFonts w:ascii="Arial" w:hAnsi="Arial" w:cs="Arial"/>
          <w:b/>
          <w:i/>
          <w:color w:val="auto"/>
          <w:lang w:val="en-GB"/>
        </w:rPr>
        <w:t>Integrity</w:t>
      </w:r>
      <w:r w:rsidRPr="009436D2">
        <w:rPr>
          <w:rFonts w:ascii="Arial" w:hAnsi="Arial" w:cs="Arial"/>
          <w:i/>
          <w:color w:val="auto"/>
          <w:lang w:val="en-GB"/>
        </w:rPr>
        <w:t>:</w:t>
      </w:r>
      <w:r w:rsidRPr="009436D2">
        <w:rPr>
          <w:rFonts w:ascii="Arial" w:hAnsi="Arial" w:cs="Arial"/>
          <w:bCs/>
          <w:i/>
          <w:iCs/>
          <w:color w:val="auto"/>
          <w:lang w:val="en-GB"/>
        </w:rPr>
        <w:t xml:space="preserve"> </w:t>
      </w:r>
      <w:r w:rsidRPr="009436D2">
        <w:rPr>
          <w:rFonts w:ascii="Arial" w:hAnsi="Arial" w:cs="Arial"/>
          <w:color w:val="auto"/>
          <w:lang w:val="en-GB"/>
        </w:rPr>
        <w:t>The Energy Regulator should exercise professionalism, honesty and objectivity in the management of the Energy Regulator’s affairs and in all its dealings with stakeholders</w:t>
      </w:r>
      <w:r w:rsidRPr="009436D2">
        <w:rPr>
          <w:rFonts w:ascii="Arial" w:hAnsi="Arial" w:cs="Arial"/>
          <w:bCs/>
          <w:iCs/>
          <w:color w:val="auto"/>
          <w:lang w:val="en-GB"/>
        </w:rPr>
        <w:t>.</w:t>
      </w:r>
    </w:p>
    <w:p w:rsidR="00EF1AFC" w:rsidRPr="009436D2" w:rsidRDefault="00EF1AFC" w:rsidP="00EF1AFC">
      <w:pPr>
        <w:pStyle w:val="BodyText"/>
        <w:numPr>
          <w:ilvl w:val="0"/>
          <w:numId w:val="1"/>
        </w:numPr>
        <w:tabs>
          <w:tab w:val="clear" w:pos="360"/>
          <w:tab w:val="num" w:pos="426"/>
        </w:tabs>
        <w:spacing w:after="0" w:line="360" w:lineRule="auto"/>
        <w:ind w:left="425" w:right="45" w:hanging="425"/>
        <w:jc w:val="both"/>
        <w:rPr>
          <w:rFonts w:ascii="Arial" w:hAnsi="Arial" w:cs="Arial"/>
          <w:color w:val="auto"/>
          <w:lang w:val="en-GB"/>
        </w:rPr>
      </w:pPr>
      <w:r w:rsidRPr="009436D2">
        <w:rPr>
          <w:rFonts w:ascii="Arial" w:hAnsi="Arial" w:cs="Arial"/>
          <w:b/>
          <w:i/>
          <w:color w:val="auto"/>
          <w:lang w:val="en-GB"/>
        </w:rPr>
        <w:lastRenderedPageBreak/>
        <w:t>Efficiency</w:t>
      </w:r>
      <w:r w:rsidRPr="009436D2">
        <w:rPr>
          <w:rFonts w:ascii="Arial" w:hAnsi="Arial" w:cs="Arial"/>
          <w:i/>
          <w:color w:val="auto"/>
          <w:lang w:val="en-GB"/>
        </w:rPr>
        <w:t xml:space="preserve">: </w:t>
      </w:r>
      <w:r w:rsidRPr="009436D2">
        <w:rPr>
          <w:rFonts w:ascii="Arial" w:hAnsi="Arial" w:cs="Arial"/>
          <w:color w:val="auto"/>
          <w:lang w:val="en-GB"/>
        </w:rPr>
        <w:t>The Energy Regulator should make the best use of resources to further the regulatory objectives by exercising objectivity and commitment to evidence-based strategies for improvement.</w:t>
      </w:r>
    </w:p>
    <w:p w:rsidR="00EF1AFC" w:rsidRPr="009436D2" w:rsidRDefault="00EF1AFC" w:rsidP="00EF1AFC">
      <w:pPr>
        <w:pStyle w:val="ListParagraph"/>
        <w:numPr>
          <w:ilvl w:val="0"/>
          <w:numId w:val="1"/>
        </w:numPr>
        <w:spacing w:line="360" w:lineRule="auto"/>
        <w:ind w:left="357" w:hanging="357"/>
        <w:jc w:val="both"/>
        <w:rPr>
          <w:rFonts w:ascii="Arial" w:eastAsia="Times New Roman" w:hAnsi="Arial" w:cs="Arial"/>
          <w:color w:val="auto"/>
          <w:lang w:val="en-GB" w:eastAsia="en-US"/>
        </w:rPr>
      </w:pPr>
      <w:r w:rsidRPr="009436D2">
        <w:rPr>
          <w:rFonts w:ascii="Arial" w:hAnsi="Arial" w:cs="Arial"/>
          <w:b/>
          <w:bCs/>
          <w:i/>
          <w:iCs/>
          <w:lang w:val="en-GB"/>
        </w:rPr>
        <w:t>Public Interest</w:t>
      </w:r>
      <w:r w:rsidRPr="009436D2">
        <w:rPr>
          <w:rFonts w:ascii="Arial" w:hAnsi="Arial" w:cs="Arial"/>
          <w:lang w:val="en-GB"/>
        </w:rPr>
        <w:t>: The Energy Regulator should endeavour to take decisions in the interest of the public as far as possible.</w:t>
      </w:r>
    </w:p>
    <w:p w:rsidR="00EF1AFC" w:rsidRPr="009436D2" w:rsidRDefault="00EF1AFC" w:rsidP="00EF1AFC">
      <w:pPr>
        <w:autoSpaceDE w:val="0"/>
        <w:autoSpaceDN w:val="0"/>
        <w:adjustRightInd w:val="0"/>
        <w:spacing w:line="360" w:lineRule="auto"/>
        <w:ind w:left="426" w:right="48"/>
        <w:jc w:val="both"/>
        <w:rPr>
          <w:rFonts w:cs="Arial"/>
          <w:color w:val="auto"/>
          <w:highlight w:val="yellow"/>
          <w:lang w:val="en-GB"/>
        </w:rPr>
      </w:pPr>
    </w:p>
    <w:p w:rsidR="00272B46" w:rsidRDefault="00272B46"/>
    <w:sectPr w:rsidR="00272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D6ED9"/>
    <w:multiLevelType w:val="hybridMultilevel"/>
    <w:tmpl w:val="A3A0E1D6"/>
    <w:lvl w:ilvl="0" w:tplc="E294E734">
      <w:start w:val="1"/>
      <w:numFmt w:val="bullet"/>
      <w:lvlText w:val=""/>
      <w:lvlJc w:val="left"/>
      <w:pPr>
        <w:tabs>
          <w:tab w:val="num" w:pos="360"/>
        </w:tabs>
        <w:ind w:left="360" w:hanging="360"/>
      </w:pPr>
      <w:rPr>
        <w:rFonts w:ascii="Symbol" w:hAnsi="Symbol" w:hint="default"/>
      </w:rPr>
    </w:lvl>
    <w:lvl w:ilvl="1" w:tplc="35067A14" w:tentative="1">
      <w:start w:val="1"/>
      <w:numFmt w:val="bullet"/>
      <w:lvlText w:val="o"/>
      <w:lvlJc w:val="left"/>
      <w:pPr>
        <w:tabs>
          <w:tab w:val="num" w:pos="1080"/>
        </w:tabs>
        <w:ind w:left="1080" w:hanging="360"/>
      </w:pPr>
      <w:rPr>
        <w:rFonts w:ascii="Courier New" w:hAnsi="Courier New" w:hint="default"/>
      </w:rPr>
    </w:lvl>
    <w:lvl w:ilvl="2" w:tplc="C96CBF58">
      <w:start w:val="1"/>
      <w:numFmt w:val="bullet"/>
      <w:lvlText w:val=""/>
      <w:lvlJc w:val="left"/>
      <w:pPr>
        <w:tabs>
          <w:tab w:val="num" w:pos="1800"/>
        </w:tabs>
        <w:ind w:left="1800" w:hanging="360"/>
      </w:pPr>
      <w:rPr>
        <w:rFonts w:ascii="Wingdings" w:hAnsi="Wingdings" w:hint="default"/>
      </w:rPr>
    </w:lvl>
    <w:lvl w:ilvl="3" w:tplc="187A84C8" w:tentative="1">
      <w:start w:val="1"/>
      <w:numFmt w:val="bullet"/>
      <w:lvlText w:val=""/>
      <w:lvlJc w:val="left"/>
      <w:pPr>
        <w:tabs>
          <w:tab w:val="num" w:pos="2520"/>
        </w:tabs>
        <w:ind w:left="2520" w:hanging="360"/>
      </w:pPr>
      <w:rPr>
        <w:rFonts w:ascii="Symbol" w:hAnsi="Symbol" w:hint="default"/>
      </w:rPr>
    </w:lvl>
    <w:lvl w:ilvl="4" w:tplc="7F7A04B2" w:tentative="1">
      <w:start w:val="1"/>
      <w:numFmt w:val="bullet"/>
      <w:lvlText w:val="o"/>
      <w:lvlJc w:val="left"/>
      <w:pPr>
        <w:tabs>
          <w:tab w:val="num" w:pos="3240"/>
        </w:tabs>
        <w:ind w:left="3240" w:hanging="360"/>
      </w:pPr>
      <w:rPr>
        <w:rFonts w:ascii="Courier New" w:hAnsi="Courier New" w:hint="default"/>
      </w:rPr>
    </w:lvl>
    <w:lvl w:ilvl="5" w:tplc="74DA4F36" w:tentative="1">
      <w:start w:val="1"/>
      <w:numFmt w:val="bullet"/>
      <w:lvlText w:val=""/>
      <w:lvlJc w:val="left"/>
      <w:pPr>
        <w:tabs>
          <w:tab w:val="num" w:pos="3960"/>
        </w:tabs>
        <w:ind w:left="3960" w:hanging="360"/>
      </w:pPr>
      <w:rPr>
        <w:rFonts w:ascii="Wingdings" w:hAnsi="Wingdings" w:hint="default"/>
      </w:rPr>
    </w:lvl>
    <w:lvl w:ilvl="6" w:tplc="4EBE694C" w:tentative="1">
      <w:start w:val="1"/>
      <w:numFmt w:val="bullet"/>
      <w:lvlText w:val=""/>
      <w:lvlJc w:val="left"/>
      <w:pPr>
        <w:tabs>
          <w:tab w:val="num" w:pos="4680"/>
        </w:tabs>
        <w:ind w:left="4680" w:hanging="360"/>
      </w:pPr>
      <w:rPr>
        <w:rFonts w:ascii="Symbol" w:hAnsi="Symbol" w:hint="default"/>
      </w:rPr>
    </w:lvl>
    <w:lvl w:ilvl="7" w:tplc="12A6E480" w:tentative="1">
      <w:start w:val="1"/>
      <w:numFmt w:val="bullet"/>
      <w:lvlText w:val="o"/>
      <w:lvlJc w:val="left"/>
      <w:pPr>
        <w:tabs>
          <w:tab w:val="num" w:pos="5400"/>
        </w:tabs>
        <w:ind w:left="5400" w:hanging="360"/>
      </w:pPr>
      <w:rPr>
        <w:rFonts w:ascii="Courier New" w:hAnsi="Courier New" w:hint="default"/>
      </w:rPr>
    </w:lvl>
    <w:lvl w:ilvl="8" w:tplc="84589446"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FC"/>
    <w:rsid w:val="00272B46"/>
    <w:rsid w:val="00AC357D"/>
    <w:rsid w:val="00EF1A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51D40-F986-4B31-9D90-FB889851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FC"/>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link w:val="ListParagraphChar"/>
    <w:uiPriority w:val="34"/>
    <w:qFormat/>
    <w:rsid w:val="00EF1AFC"/>
    <w:pPr>
      <w:spacing w:after="0" w:line="240" w:lineRule="auto"/>
      <w:ind w:left="720"/>
    </w:pPr>
    <w:rPr>
      <w:rFonts w:ascii="Times New Roman" w:eastAsia="ヒラギノ角ゴ Pro W3" w:hAnsi="Times New Roman" w:cs="Times New Roman"/>
      <w:color w:val="000000"/>
      <w:sz w:val="24"/>
      <w:szCs w:val="24"/>
      <w:lang w:val="en-US" w:eastAsia="en-ZA"/>
    </w:rPr>
  </w:style>
  <w:style w:type="character" w:customStyle="1" w:styleId="ListParagraphChar">
    <w:name w:val="List Paragraph Char"/>
    <w:link w:val="ListParagraph"/>
    <w:uiPriority w:val="34"/>
    <w:locked/>
    <w:rsid w:val="00EF1AFC"/>
    <w:rPr>
      <w:rFonts w:ascii="Times New Roman" w:eastAsia="ヒラギノ角ゴ Pro W3" w:hAnsi="Times New Roman" w:cs="Times New Roman"/>
      <w:color w:val="000000"/>
      <w:sz w:val="24"/>
      <w:szCs w:val="24"/>
      <w:lang w:val="en-US" w:eastAsia="en-ZA"/>
    </w:rPr>
  </w:style>
  <w:style w:type="paragraph" w:styleId="BodyText">
    <w:name w:val="Body Text"/>
    <w:aliases w:val="bd,b,Body Text x,bt,body text,block,Body text,Body Text Char Char"/>
    <w:basedOn w:val="Normal"/>
    <w:link w:val="BodyTextChar"/>
    <w:uiPriority w:val="1"/>
    <w:qFormat/>
    <w:rsid w:val="00EF1AFC"/>
    <w:pPr>
      <w:spacing w:after="120"/>
    </w:pPr>
  </w:style>
  <w:style w:type="character" w:customStyle="1" w:styleId="BodyTextChar">
    <w:name w:val="Body Text Char"/>
    <w:aliases w:val="bd Char,b Char,Body Text x Char,bt Char,body text Char,block Char,Body text Char,Body Text Char Char Char"/>
    <w:basedOn w:val="DefaultParagraphFont"/>
    <w:link w:val="BodyText"/>
    <w:uiPriority w:val="1"/>
    <w:rsid w:val="00EF1AFC"/>
    <w:rPr>
      <w:rFonts w:ascii="Times New Roman" w:eastAsia="ヒラギノ角ゴ Pro W3"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Langenhoven</dc:creator>
  <cp:keywords/>
  <dc:description/>
  <cp:lastModifiedBy>Wanda Langenhoven</cp:lastModifiedBy>
  <cp:revision>2</cp:revision>
  <dcterms:created xsi:type="dcterms:W3CDTF">2021-09-15T07:07:00Z</dcterms:created>
  <dcterms:modified xsi:type="dcterms:W3CDTF">2021-09-15T07:07:00Z</dcterms:modified>
</cp:coreProperties>
</file>